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79" w:rsidRPr="00762FF8" w:rsidRDefault="00441979" w:rsidP="00441979">
      <w:pPr>
        <w:pStyle w:val="NormalWeb"/>
        <w:spacing w:before="0" w:beforeAutospacing="0" w:after="0" w:afterAutospacing="0"/>
        <w:jc w:val="center"/>
        <w:rPr>
          <w:b/>
          <w:bCs/>
          <w:sz w:val="28"/>
          <w:szCs w:val="28"/>
        </w:rPr>
      </w:pP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b/>
          <w:bCs/>
          <w:sz w:val="28"/>
          <w:szCs w:val="28"/>
        </w:rPr>
      </w:pPr>
      <w:r w:rsidRPr="00762FF8">
        <w:rPr>
          <w:b/>
          <w:bCs/>
          <w:sz w:val="28"/>
          <w:szCs w:val="28"/>
        </w:rPr>
        <w:t>SECCIÓN DE NOTICIAS DE LA UGPP</w:t>
      </w: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sz w:val="18"/>
          <w:szCs w:val="18"/>
        </w:rPr>
      </w:pPr>
    </w:p>
    <w:p w:rsidR="00441979" w:rsidRPr="00762FF8" w:rsidRDefault="00441979" w:rsidP="00441979">
      <w:pPr>
        <w:pStyle w:val="NormalWeb"/>
        <w:spacing w:before="0" w:beforeAutospacing="0" w:after="0" w:afterAutospacing="0"/>
        <w:jc w:val="center"/>
        <w:rPr>
          <w:sz w:val="18"/>
          <w:szCs w:val="18"/>
        </w:rPr>
      </w:pPr>
      <w:r w:rsidRPr="00762FF8">
        <w:rPr>
          <w:b/>
          <w:bCs/>
          <w:sz w:val="28"/>
          <w:szCs w:val="28"/>
        </w:rPr>
        <w:t>15-02-2016</w:t>
      </w:r>
    </w:p>
    <w:p w:rsidR="00441979" w:rsidRPr="00762FF8" w:rsidRDefault="00441979" w:rsidP="00441979">
      <w:pPr>
        <w:pStyle w:val="NormalWeb"/>
        <w:spacing w:before="0" w:beforeAutospacing="0" w:after="0" w:afterAutospacing="0"/>
        <w:jc w:val="center"/>
        <w:rPr>
          <w:b/>
          <w:bCs/>
          <w:sz w:val="28"/>
          <w:szCs w:val="28"/>
        </w:rPr>
      </w:pPr>
    </w:p>
    <w:p w:rsidR="00441979" w:rsidRPr="00762FF8" w:rsidRDefault="00441979" w:rsidP="00441979">
      <w:pPr>
        <w:pStyle w:val="NormalWeb"/>
        <w:spacing w:before="0" w:beforeAutospacing="0" w:after="0" w:afterAutospacing="0"/>
        <w:jc w:val="center"/>
        <w:rPr>
          <w:sz w:val="18"/>
          <w:szCs w:val="18"/>
        </w:rPr>
      </w:pPr>
      <w:r w:rsidRPr="00762FF8">
        <w:rPr>
          <w:b/>
          <w:bCs/>
          <w:sz w:val="28"/>
          <w:szCs w:val="28"/>
        </w:rPr>
        <w:t>UGPP</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En sesión del 9 de febrero de 2016, el Consejo Directivo de La Unidad de Pensiones y Parafiscales-UGPP analizó la aplicación del artículo 30 de la Ley 1393 de 2010 referida en el Acuerdo 1035 de 2015 con ocasión a las solicitudes dirigidas a la Unidad por los aportantes, en el sentido de excluir las prestaciones sociales establecidas en los títulos VIII y IX del Código Sustantivo del Trabajo, para efectos del cálculo del límite contenido en esta disposición dado su carácter no salarial, y ante la manifestación reiterativa de algunos de ellos de aplicar el concepto No 147921 de 2013, emitido por el Ministerio del Trabajo, decidió elevar consulta ante el H. Consejo de Estado, a efectos de obtener su posición jurídica sobre el asunto.</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En consecuencia, como una medida transitoria hasta tanto la Sala de Consulta y Servicio Civil del Consejo de Estado emita pronunciamiento, o se adelanten las acciones que para tal efecto disponga el Consejo Directivo, en los procesos que adelanta esta Unidad relativos a la adecuada, completa y oportuna</w:t>
      </w:r>
      <w:r w:rsidRPr="00762FF8">
        <w:rPr>
          <w:rStyle w:val="apple-converted-space"/>
          <w:sz w:val="22"/>
          <w:szCs w:val="22"/>
        </w:rPr>
        <w:t> </w:t>
      </w:r>
      <w:hyperlink r:id="rId4" w:history="1">
        <w:r w:rsidRPr="00762FF8">
          <w:rPr>
            <w:rStyle w:val="Hipervnculo"/>
            <w:color w:val="auto"/>
            <w:sz w:val="22"/>
            <w:szCs w:val="22"/>
            <w:u w:val="none"/>
          </w:rPr>
          <w:t>liquidación</w:t>
        </w:r>
      </w:hyperlink>
      <w:r w:rsidRPr="00762FF8">
        <w:rPr>
          <w:rStyle w:val="apple-converted-space"/>
          <w:sz w:val="22"/>
          <w:szCs w:val="22"/>
        </w:rPr>
        <w:t> </w:t>
      </w:r>
      <w:r w:rsidRPr="00762FF8">
        <w:rPr>
          <w:sz w:val="22"/>
          <w:szCs w:val="22"/>
        </w:rPr>
        <w:t>y pago de los aportes a la seguridad social integral, se tendrá en cuenta el concepto No. 147921 de 2013 expedido por ese Ministerio. Por consiguiente, para efecto de la aplicación del artículo 30 de la Ley 1393 de 2010 no se incluirán en el cálculo del 40%, ni en el concepto “total de la remuneración” las</w:t>
      </w:r>
      <w:r w:rsidRPr="00762FF8">
        <w:rPr>
          <w:rStyle w:val="apple-converted-space"/>
          <w:b/>
          <w:bCs/>
          <w:sz w:val="22"/>
          <w:szCs w:val="22"/>
        </w:rPr>
        <w:t> </w:t>
      </w:r>
      <w:r w:rsidRPr="00762FF8">
        <w:rPr>
          <w:rStyle w:val="Textoennegrita"/>
          <w:sz w:val="22"/>
          <w:szCs w:val="22"/>
        </w:rPr>
        <w:t>prestaciones sociales</w:t>
      </w:r>
      <w:r w:rsidRPr="00762FF8">
        <w:rPr>
          <w:rStyle w:val="apple-converted-space"/>
          <w:sz w:val="22"/>
          <w:szCs w:val="22"/>
        </w:rPr>
        <w:t> </w:t>
      </w:r>
      <w:r w:rsidRPr="00762FF8">
        <w:rPr>
          <w:sz w:val="22"/>
          <w:szCs w:val="22"/>
        </w:rPr>
        <w:t>establecidas en los títulos VIII y IX del Código Sustantivo del Trabajo.</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Lo anterior con el fin de informar a los aportantes las políticas que adoptará temporalmente la Unidad.</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Se precisa que las demás disposiciones contenidas en el Acuerdo 1035 de 2015 expedido por este órgano, continuarán aplicándose en su integridad.</w:t>
      </w:r>
    </w:p>
    <w:p w:rsidR="00441979" w:rsidRPr="00762FF8" w:rsidRDefault="00441979" w:rsidP="00441979">
      <w:pPr>
        <w:pStyle w:val="NormalWeb"/>
        <w:spacing w:before="0" w:beforeAutospacing="0" w:after="0" w:afterAutospacing="0"/>
        <w:jc w:val="both"/>
        <w:rPr>
          <w:sz w:val="18"/>
          <w:szCs w:val="18"/>
        </w:rPr>
      </w:pPr>
    </w:p>
    <w:p w:rsidR="00441979" w:rsidRPr="00762FF8" w:rsidRDefault="00441979" w:rsidP="00441979">
      <w:pPr>
        <w:pStyle w:val="NormalWeb"/>
        <w:spacing w:before="0" w:beforeAutospacing="0" w:after="0" w:afterAutospacing="0"/>
        <w:jc w:val="both"/>
        <w:rPr>
          <w:sz w:val="18"/>
          <w:szCs w:val="18"/>
        </w:rPr>
      </w:pPr>
      <w:r w:rsidRPr="00762FF8">
        <w:rPr>
          <w:sz w:val="18"/>
          <w:szCs w:val="18"/>
        </w:rPr>
        <w:t xml:space="preserve">________________________________________________________________________________________ </w:t>
      </w:r>
    </w:p>
    <w:p w:rsidR="00961BFA" w:rsidRPr="00762FF8" w:rsidRDefault="00961BFA">
      <w:pPr>
        <w:rPr>
          <w:rFonts w:cs="Times New Roman"/>
        </w:rPr>
      </w:pPr>
    </w:p>
    <w:p w:rsidR="00762FF8" w:rsidRPr="00762FF8" w:rsidRDefault="00762FF8">
      <w:pPr>
        <w:rPr>
          <w:rFonts w:cs="Times New Roman"/>
        </w:rPr>
      </w:pPr>
    </w:p>
    <w:p w:rsidR="00762FF8" w:rsidRPr="00762FF8" w:rsidRDefault="00762FF8" w:rsidP="00762FF8">
      <w:pPr>
        <w:spacing w:after="0" w:line="240" w:lineRule="auto"/>
        <w:jc w:val="center"/>
        <w:rPr>
          <w:rFonts w:eastAsia="Times New Roman" w:cs="Times New Roman"/>
          <w:szCs w:val="24"/>
          <w:lang w:eastAsia="es-CO"/>
        </w:rPr>
      </w:pPr>
      <w:r w:rsidRPr="00762FF8">
        <w:rPr>
          <w:rFonts w:eastAsia="Times New Roman" w:cs="Times New Roman"/>
          <w:b/>
          <w:bCs/>
          <w:szCs w:val="24"/>
          <w:lang w:eastAsia="es-CO"/>
        </w:rPr>
        <w:t>Concepto N° 147921</w:t>
      </w:r>
    </w:p>
    <w:p w:rsidR="00762FF8" w:rsidRPr="00762FF8" w:rsidRDefault="00762FF8" w:rsidP="00762FF8">
      <w:pPr>
        <w:spacing w:after="0" w:line="240" w:lineRule="auto"/>
        <w:jc w:val="center"/>
        <w:rPr>
          <w:rFonts w:eastAsia="Times New Roman" w:cs="Times New Roman"/>
          <w:szCs w:val="24"/>
          <w:lang w:eastAsia="es-CO"/>
        </w:rPr>
      </w:pPr>
      <w:r w:rsidRPr="00762FF8">
        <w:rPr>
          <w:rFonts w:eastAsia="Times New Roman" w:cs="Times New Roman"/>
          <w:b/>
          <w:bCs/>
          <w:szCs w:val="24"/>
          <w:lang w:eastAsia="es-CO"/>
        </w:rPr>
        <w:t>25-07-2013</w:t>
      </w:r>
    </w:p>
    <w:p w:rsidR="00762FF8" w:rsidRPr="00762FF8" w:rsidRDefault="00762FF8" w:rsidP="00762FF8">
      <w:pPr>
        <w:spacing w:after="0" w:line="240" w:lineRule="auto"/>
        <w:jc w:val="center"/>
        <w:rPr>
          <w:rFonts w:eastAsia="Times New Roman" w:cs="Times New Roman"/>
          <w:szCs w:val="24"/>
          <w:lang w:eastAsia="es-CO"/>
        </w:rPr>
      </w:pPr>
      <w:r w:rsidRPr="00762FF8">
        <w:rPr>
          <w:rFonts w:eastAsia="Times New Roman" w:cs="Times New Roman"/>
          <w:b/>
          <w:bCs/>
          <w:szCs w:val="24"/>
          <w:lang w:eastAsia="es-CO"/>
        </w:rPr>
        <w:t>Ministerio del Trabajo</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b/>
          <w:b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b/>
          <w:b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1200000</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Bogotá</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Respetada Señora.</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De manera atenta, atendiendo a su consulta recibida en esta entidad bajo el radicado del asunto, nos permitimos aclarar sus inquietudes referentes al campo de aplicación del límite del 40%, para pagos no constitutivos de salario, establecido en el artículo 30 de la Ley 1393 de 2010, en los siguientes términos:</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En su momento el Ministerio de la Protección Social, mediante Concepto No. 101294 del 12 de abril de 2011, respecto a una consulta elevada en el mismo sentido, expreso: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szCs w:val="24"/>
          <w:lang w:eastAsia="es-CO"/>
        </w:rPr>
        <w:lastRenderedPageBreak/>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“El artículo 30 de la Ley 1393 de 2010 señala:</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“Sin perjuicio de lo previsto para otros fines, para los efectos relacionados con los artículos 18 y 204 de la Ley 100 de 1993, los pagos laborales no constitutivos de salario de las trabajadores particulares no podrán ser superiores al 40% del total de la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Esta norma es clara, en establecer una prohibición en el sentido, que para los efectos de la determinación del ingreso base de cotización al Sistema General de Seguridad Social en Salud, Pensiones y Riesgos Profesionales, los pagos no constitutivos de salario no podrán exceder el 40% del total de la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Con el fin de determinar el alcance e interpretación de la expresión “pagos no constitutivos de salario” contenida en el artículo 30 de la Ley 1393 de 2010, debe tenerse en cuenta el contexto de la norma de la cual hace parte, así como el sentido general de la Ley 1393 de 2010.</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En primer lugar es preciso mencionar que la Ley 1393, estableció las “Medidas en materia de control a la evasión y elusión de cotizaciones y aportes”, lo que implica que su propósito no es el de modificar o redefinir ni el concepto de salario ni el de ingreso base de cotización, sino el de evitar algunas conductas o actuaciones de los empleadores y/o trabajadores que puedan llegar a tener por efecto reducir la base de sus aportes al Sistema Integral de Seguridad Social. Por ello, debe partirse de la premisa de que para el correcto entendimiento de esta disposición, las normas que resultan en primera lugar aplicables son los artículos 127 y 128 del Código Sustantivo del Trabajo.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El artículo 127 del CST establece la definición general de salario vigente en el derecho colombiano, el cual incluye “todo lo que recibe el trabajador en dinero o en especie como contraprestación directa del servicio”.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Por su parte, el artículo 128 del CST define los pagos que no se consideran salario y al respecto establece:</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w:t>
      </w:r>
      <w:r w:rsidRPr="00762FF8">
        <w:rPr>
          <w:rFonts w:eastAsia="Times New Roman" w:cs="Times New Roman"/>
          <w:i/>
          <w:iCs/>
          <w:szCs w:val="24"/>
          <w:u w:val="single"/>
          <w:lang w:eastAsia="es-CO"/>
        </w:rPr>
        <w:t>Pagos que no constituyen salarios</w:t>
      </w:r>
      <w:r w:rsidRPr="00762FF8">
        <w:rPr>
          <w:rFonts w:eastAsia="Times New Roman" w:cs="Times New Roman"/>
          <w:i/>
          <w:iCs/>
          <w:szCs w:val="24"/>
          <w:lang w:eastAsia="es-CO"/>
        </w:rPr>
        <w:t>. 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VIII y IX, </w:t>
      </w:r>
      <w:r w:rsidRPr="00762FF8">
        <w:rPr>
          <w:rFonts w:eastAsia="Times New Roman" w:cs="Times New Roman"/>
          <w:b/>
          <w:bCs/>
          <w:i/>
          <w:iCs/>
          <w:szCs w:val="24"/>
          <w:lang w:eastAsia="es-CO"/>
        </w:rPr>
        <w:t>ni los beneficios o auxilios habituales u ocasionales acordados convencional o contractualmente u otorgados en forma extralegal por el empleador, </w:t>
      </w:r>
      <w:r w:rsidRPr="00762FF8">
        <w:rPr>
          <w:rFonts w:eastAsia="Times New Roman" w:cs="Times New Roman"/>
          <w:i/>
          <w:iCs/>
          <w:szCs w:val="24"/>
          <w:lang w:eastAsia="es-CO"/>
        </w:rPr>
        <w:t>cuando las partes hayan dispuesto expresamente que no constituyen salario en dinero o en especie, tales como la alimentación, habitación o vestuario, las primas extralegales, de vacaciones, de servicios o de navidad”. (Resaltado fuera del texto original).</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De estas disposiciones normativas se puede establecer que el concepto general de salario incluye toda la contraprestación directa por el servicio, pero no forman parte del mismo ni las prestaciones sociales ni los demás emolumentos percibidos por el trabajador, cuando las partes han acordado expresamente que éstos no constituyen salario.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lastRenderedPageBreak/>
        <w:t>La Corte Constitucional en Sentencia C-521 de 1995, mediante la cual declaró EXEQUIBLES los aportes de los artículos 15 y 16 de la Ley 50 de 1990, frente al concepto de pagos no constitutivos de salario, en la parte considerativa, expresó:</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Teniendo en cuenta las reformas hechas por la Ley 50 de 1990 a los arts. 127, 128, 129, 130 y 132 del C.S.T., la regla general es que constituye salario no sólo la remuneración ordinaria, fija o variable sino todo lo que recibe el trabajador en dinero o en especie como contraprestación o retribución directa y onerosa del servicio, y que ingresan real y efectivamente a su patrimonio, es decir, no a título gratuito o por mera liberalidad del empleador, ni lo que recibe en dinero en especie no para su beneficio ni para enriquecer su patrimonio, sino para desempeñar a cabalidad sus funciones, ni las prestaciones sociales, ni los pagos o suministros en especie, conforme lo acuerden las partes, ni los pagos que según su naturaleza y por disposición legal no tienen carácter salarial, o lo tienen en alguna medida para ciertos efectos, ni los beneficios o auxilios habituales u ocasionales, acordados convencional o contractualmente u otorgados en forma extralegal por el empleador cuando por disposición expresa de las partes no tienen el carácter de salario, con efectos en la liquidación de prestaciones sociales”.</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Por su parte, la Sala de Casación Laboral de la Corte Suprema de Justicia en sentencia del 12 de febrero de 1993 (radicación 5481. Sección Segunda M. P. Hugo </w:t>
      </w:r>
      <w:proofErr w:type="spellStart"/>
      <w:r w:rsidRPr="00762FF8">
        <w:rPr>
          <w:rFonts w:eastAsia="Times New Roman" w:cs="Times New Roman"/>
          <w:i/>
          <w:iCs/>
          <w:szCs w:val="24"/>
          <w:lang w:eastAsia="es-CO"/>
        </w:rPr>
        <w:t>Suescún</w:t>
      </w:r>
      <w:proofErr w:type="spellEnd"/>
      <w:r w:rsidRPr="00762FF8">
        <w:rPr>
          <w:rFonts w:eastAsia="Times New Roman" w:cs="Times New Roman"/>
          <w:i/>
          <w:iCs/>
          <w:szCs w:val="24"/>
          <w:lang w:eastAsia="es-CO"/>
        </w:rPr>
        <w:t xml:space="preserve"> </w:t>
      </w:r>
      <w:proofErr w:type="spellStart"/>
      <w:r w:rsidRPr="00762FF8">
        <w:rPr>
          <w:rFonts w:eastAsia="Times New Roman" w:cs="Times New Roman"/>
          <w:i/>
          <w:iCs/>
          <w:szCs w:val="24"/>
          <w:lang w:eastAsia="es-CO"/>
        </w:rPr>
        <w:t>Pujols</w:t>
      </w:r>
      <w:proofErr w:type="spellEnd"/>
      <w:r w:rsidRPr="00762FF8">
        <w:rPr>
          <w:rFonts w:eastAsia="Times New Roman" w:cs="Times New Roman"/>
          <w:i/>
          <w:iCs/>
          <w:szCs w:val="24"/>
          <w:lang w:eastAsia="es-CO"/>
        </w:rPr>
        <w:t>), al referirse a la interpretación de los artículos 127 y 128 del Código Sustantivo del Trabajo, en vigencia de la Ley 50 de 1990, expuso lo siguiente:</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xml:space="preserve">“Estas normas, en lo esencial siguen diciendo lo mismo bajo la nueva redacción de los artículos 14 y 15 de ley 50 de 1990, puesto que dichos preceptos no disponen, como pareciera darlo a entender una lectura superficial de sus textos, que un pago que realmente remunera el servicio, y por lo tanto constituye salario ya no lo es en virtud de la disposición unilateral del empleador o por convenio individual o colectivo con sus trabajadores. En efecto ni siquiera al legislador le está permitido contrariar la naturaleza de las cosas, y por lo mismo no podría disponer que un pago que retribuye a la actividad del trabajador ya no sea salario. Lo que verdaderamente quiere decir la última parte del artículo 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w:t>
      </w:r>
      <w:proofErr w:type="spellStart"/>
      <w:r w:rsidRPr="00762FF8">
        <w:rPr>
          <w:rFonts w:eastAsia="Times New Roman" w:cs="Times New Roman"/>
          <w:i/>
          <w:iCs/>
          <w:szCs w:val="24"/>
          <w:lang w:eastAsia="es-CO"/>
        </w:rPr>
        <w:t>etc</w:t>
      </w:r>
      <w:proofErr w:type="spellEnd"/>
      <w:r w:rsidRPr="00762FF8">
        <w:rPr>
          <w:rFonts w:eastAsia="Times New Roman" w:cs="Times New Roman"/>
          <w:i/>
          <w:iCs/>
          <w:szCs w:val="24"/>
          <w:lang w:eastAsia="es-CO"/>
        </w:rPr>
        <w:t>).</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Este entendimiento de la norma es el único que racionalmente cabe hacer, ya que aun cuando habitualmente se ha formado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quienes celebran un convento individual o colectivo de trabajo, es disponer que aquello por esencia es salario, deje de serlo.</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lastRenderedPageBreak/>
        <w:t>Los diferentes pagos laborales que recibe el trabajador del empleador, clasificados en la aludida sentencia como salarios, descansos, prestaciones sociales, indemnizaciones y pagos no salariales tienen su fuente o causa en la relación laboral, a que da origen el vínculo jurídico que surge entre el trabajador y el empleador con ocasión del servicio subordinado que el primero realiza en favor de éste, aunque cada uno tenga su propia significación y respondan a objetivos diferentes, como la retribución directa por la actividad laboral, o la que cubre los riesgos inherentes al trabajo, o constituye un resarcimiento de los perjuicios irrogados al trabajador por la violación de sus derechos, o tiene el significado de una liberalidad o está destinada a facilitar la labor del trabajador, etc.</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Estima la Sala que es de la competencia del legislador, dentro de la libertad que tiene como conformador de la norma jurídica, determinar los elementos de la retribución directa del servicio dentro de la relación laboral subordinada, esto es, lo que constituye salario, con arreglo a los criterios y principios va mencionados, lo cual le impide desconocer la primacía de la realidad sobre la forma y mudar arbitrariamente la naturaleza de las cosas, como sería quitarle la naturaleza de salario a lo que realmente tiene este carácter.</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Igualmente, dicha competencia se extiende a la determinación expresa, respetando los referidos criterios y principios, o deferida a la voluntad de las partes, de los pagos o remuneraciones que no constituyen salario para los efectos de la liquidación de prestaciones sociales. Esto último es particularmente admisible, dado que la existencia del contrato y de los acuerdos y convenios de trabajo como reguladores de las relaciones de trabajo es reconocida por la propia Constitución (art. 53), en cuanto no menoscaben la libertad, la dignidad humana ni los derechos de los trabajadores.</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xml:space="preserve">La regulación de las relaciones de trabajo por los aludidos instrumentos, supone el reconocimiento constitucional de un amplio espacio para que se acuerden entre los trabajadores y los empleadores las condiciones de la prestación del servicio, en forma libre y espontánea, obedeciendo al principio de la autonomía de la voluntad, el cual tienen plena </w:t>
      </w:r>
      <w:proofErr w:type="spellStart"/>
      <w:r w:rsidRPr="00762FF8">
        <w:rPr>
          <w:rFonts w:eastAsia="Times New Roman" w:cs="Times New Roman"/>
          <w:i/>
          <w:iCs/>
          <w:szCs w:val="24"/>
          <w:lang w:eastAsia="es-CO"/>
        </w:rPr>
        <w:t>operancia</w:t>
      </w:r>
      <w:proofErr w:type="spellEnd"/>
      <w:r w:rsidRPr="00762FF8">
        <w:rPr>
          <w:rFonts w:eastAsia="Times New Roman" w:cs="Times New Roman"/>
          <w:i/>
          <w:iCs/>
          <w:szCs w:val="24"/>
          <w:lang w:eastAsia="es-CO"/>
        </w:rPr>
        <w:t xml:space="preserve"> en las relaciones laborales y resulta compatible con las normas constitucionales que regulan el trabajo, en cuanto su aplicación no implique la vulneración de los derechos esenciales o mínimos de los trabajadores, regulados por éstas y la ley.</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Con fundamento en lo anterior, se decidirá que los apartes de las normas que se acusan por el demandante son exequibles por no ser violatorios de las normas que se invocan en la demanda ni de ningún otro precepto constitucional.</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Por lo tanto, el alcance de la expresión “pagos laborales no constitutivos de salario de los trabajadores particulares” contenida en el artículo 30 de la 1393 de 2010, debe entenderse en el marco del artículo 127 y 128 del CST y de las Sentencias C-710 de 1996 y C-510 de 1995 de la Corte Constitucional que declararon su </w:t>
      </w:r>
      <w:proofErr w:type="spellStart"/>
      <w:r w:rsidRPr="00762FF8">
        <w:rPr>
          <w:rFonts w:eastAsia="Times New Roman" w:cs="Times New Roman"/>
          <w:i/>
          <w:iCs/>
          <w:szCs w:val="24"/>
          <w:lang w:eastAsia="es-CO"/>
        </w:rPr>
        <w:t>exequibilidad</w:t>
      </w:r>
      <w:proofErr w:type="spellEnd"/>
      <w:r w:rsidRPr="00762FF8">
        <w:rPr>
          <w:rFonts w:eastAsia="Times New Roman" w:cs="Times New Roman"/>
          <w:i/>
          <w:iCs/>
          <w:szCs w:val="24"/>
          <w:lang w:eastAsia="es-CO"/>
        </w:rPr>
        <w:t>, norma ésta en virtud del cual el legislador autoriza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sin embargo y para efectos del pago de aportes del Sistema General de Seguridad Social por disposición expresa del legislador, estos pagos no podrán superar el 40% del total de la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Acorde con lo anterior y teniendo en cuenta que las prestaciones sociales de que tratan los Títulos VIII y IX del C.S. del T, no tiene carácter retributivo del trabajo, sino que se </w:t>
      </w:r>
      <w:r w:rsidRPr="00762FF8">
        <w:rPr>
          <w:rFonts w:eastAsia="Times New Roman" w:cs="Times New Roman"/>
          <w:i/>
          <w:iCs/>
          <w:szCs w:val="24"/>
          <w:lang w:eastAsia="es-CO"/>
        </w:rPr>
        <w:lastRenderedPageBreak/>
        <w:t>trata de un beneficio y derecho que se otorga al trabajador, por lo cual éstas para los efectos del artículo 30 de la Ley 1393 de 2010, no se entenderían incluidas dentro del concepto de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En este orden de ideas y para efectos de dar cumplimiento a lo dispuesto en el artículo 30 de la Ley 1393 de 2010, los empleadores al momento de efectuar la liquidación y pago de aportes a la seguridad social, deben verificar que los pagos no constitutivos de salario, de acuerdo con la definición que de los mismos establece el artículo 128 del Código Sustantivo del Trabajo, no superen el tope del 40% del total de la remuneración; de ser así, las sumas que superen dicho monto se tendrán en cuenta como parte del Ingreso Base de Cotización –IBC- para el pago de los aportes a los Sistema de Salud, Pensiones y Riesgos Profesionales. A modo de ejemplo: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Un trabajador dependiente, recibe por concepto de salario básico mensual un valor de $1.000.000.oo y además recibe un pago no constitutivo de salario por valor de $800.000.oo, siendo la cotización de conformidad con el artículo 30 de la Ley 1393 de 2010 la siguiente</w:t>
      </w:r>
    </w:p>
    <w:p w:rsidR="00762FF8" w:rsidRPr="00762FF8" w:rsidRDefault="00762FF8" w:rsidP="00762FF8">
      <w:pPr>
        <w:spacing w:after="0" w:line="240" w:lineRule="auto"/>
        <w:ind w:left="284"/>
        <w:jc w:val="center"/>
        <w:rPr>
          <w:rFonts w:eastAsia="Times New Roman" w:cs="Times New Roman"/>
          <w:szCs w:val="24"/>
          <w:lang w:eastAsia="es-CO"/>
        </w:rPr>
      </w:pPr>
      <w:r w:rsidRPr="00762FF8">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7224"/>
        <w:gridCol w:w="1596"/>
      </w:tblGrid>
      <w:tr w:rsidR="00762FF8" w:rsidRPr="00762FF8" w:rsidTr="00CD3D0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Salario Mensual (Art. 127 CST)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$1.000.000.oo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Pago no constitutivo de Salario (art. 128 CST).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$800.000.oo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TOTAL REMUNERACIÓN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$1.800.000.oo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40% aplicado a la remuneración (art. 30 L. 1393/10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$720.000.oo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Valor superior al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$80.000.oo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b/>
                <w:bCs/>
                <w:i/>
                <w:iCs/>
                <w:szCs w:val="24"/>
                <w:lang w:eastAsia="es-CO"/>
              </w:rPr>
              <w:t>Ingreso Base de Cotización –IBC- </w:t>
            </w:r>
            <w:r w:rsidRPr="00762FF8">
              <w:rPr>
                <w:rFonts w:eastAsia="Times New Roman" w:cs="Times New Roman"/>
                <w:i/>
                <w:iCs/>
                <w:szCs w:val="24"/>
                <w:lang w:eastAsia="es-CO"/>
              </w:rPr>
              <w:t>Salario Mensual más valor superior al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b/>
                <w:bCs/>
                <w:i/>
                <w:iCs/>
                <w:szCs w:val="24"/>
                <w:lang w:eastAsia="es-CO"/>
              </w:rPr>
              <w:t>$1.080.000.oo</w:t>
            </w:r>
          </w:p>
        </w:tc>
      </w:tr>
    </w:tbl>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En nuestro ejemplo el Ingreso Base de Cotización a los Sistema de Salud, Pensiones y Riesgos Profesionales corresponderá a $1.080.000 valor que resulta de la suma del salario mensual y el monto de los pagos no constitutivos de salario que excede el 40% del total de la remuneración en aplicación de lo previsto en el artículo 30 de la Ley 1393 de 2010.”</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Con base en lo anterior, atendiendo a la consulta presentada, es preciso mencionar en primer lugar que conforme a la normatividad vigente para el caso de un trabajador que reciba un auxilio educativo, dejando claro que no es constitutivo de trabajo y debe ser cuantificable en dinero, es procedente que se le dé aplicación a la disposición señalada en el artículo 30 de la Ley 1393 de 2010</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Ahora bien, respecto a su liquidación y forma de pago, en criterio de esta Oficina y si bien es cierto que el auxilio de educación, planteado en la consulta se destina principalmente para estudios de educación superior, los cuales según sus condiciones pueden ser de diferente duración lo que imposibilita realizar una liquidación mensual por un concepto ya pagado, tal circunstancia obligaría al empleador al momento de efectuar el pago de dicho beneficio a dar aplicación por analogía a lo señalado para el salario, que según lo dispone el artículo 134 del C.S. del T: </w:t>
      </w:r>
      <w:r w:rsidRPr="00762FF8">
        <w:rPr>
          <w:rFonts w:eastAsia="Times New Roman" w:cs="Times New Roman"/>
          <w:i/>
          <w:iCs/>
          <w:szCs w:val="24"/>
          <w:lang w:eastAsia="es-CO"/>
        </w:rPr>
        <w:t>“debe pagarse por períodos iguales y vencidos (…) no mayor de un mes.”</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De lo anterior se desprende que para proceder a la liquidación del auxilio de estudio, establecido como no constitutivo de salario, siempre y cuando este valor supere el 40% del salario que devenga un trabajador, esta diferencia debe ser sumada para efectos de cancelar los aportes al sistema general de Seguridad Social Integral, para el período en el cual el empleador reconoció el beneficio.</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lastRenderedPageBreak/>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Cordialmente,</w:t>
      </w:r>
    </w:p>
    <w:p w:rsidR="009C3499" w:rsidRDefault="009C3499" w:rsidP="00762FF8">
      <w:pPr>
        <w:spacing w:after="0" w:line="240" w:lineRule="auto"/>
        <w:jc w:val="both"/>
        <w:rPr>
          <w:rFonts w:eastAsia="Times New Roman" w:cs="Times New Roman"/>
          <w:szCs w:val="24"/>
          <w:lang w:eastAsia="es-CO"/>
        </w:rPr>
      </w:pP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b/>
          <w:bCs/>
          <w:szCs w:val="24"/>
          <w:lang w:eastAsia="es-CO"/>
        </w:rPr>
        <w:t>ANDREA PATRICIA CAMACHO FONSECA</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Coordinadora Grupo de Apoyo Jurídico, Normativo y de Consultas (E).</w:t>
      </w:r>
    </w:p>
    <w:p w:rsid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Oficina Asesora Jurídica</w:t>
      </w:r>
    </w:p>
    <w:p w:rsidR="009C3499" w:rsidRPr="00762FF8" w:rsidRDefault="009C3499" w:rsidP="00762FF8">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762FF8" w:rsidRPr="00762FF8" w:rsidRDefault="00762FF8" w:rsidP="00762FF8">
      <w:pPr>
        <w:rPr>
          <w:rFonts w:cs="Times New Roman"/>
          <w:szCs w:val="24"/>
        </w:rPr>
      </w:pPr>
    </w:p>
    <w:p w:rsidR="00762FF8" w:rsidRPr="00762FF8" w:rsidRDefault="00762FF8">
      <w:pPr>
        <w:rPr>
          <w:rFonts w:cs="Times New Roman"/>
        </w:rPr>
      </w:pPr>
    </w:p>
    <w:sectPr w:rsidR="00762FF8" w:rsidRPr="00762FF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79"/>
    <w:rsid w:val="0029351E"/>
    <w:rsid w:val="00441979"/>
    <w:rsid w:val="00762FF8"/>
    <w:rsid w:val="00961BFA"/>
    <w:rsid w:val="009C3499"/>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B542-6AB9-47A6-895B-DCAF95FE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1979"/>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441979"/>
  </w:style>
  <w:style w:type="character" w:styleId="Hipervnculo">
    <w:name w:val="Hyperlink"/>
    <w:basedOn w:val="Fuentedeprrafopredeter"/>
    <w:uiPriority w:val="99"/>
    <w:semiHidden/>
    <w:unhideWhenUsed/>
    <w:rsid w:val="00441979"/>
    <w:rPr>
      <w:color w:val="0000FF"/>
      <w:u w:val="single"/>
    </w:rPr>
  </w:style>
  <w:style w:type="character" w:styleId="Textoennegrita">
    <w:name w:val="Strong"/>
    <w:basedOn w:val="Fuentedeprrafopredeter"/>
    <w:uiPriority w:val="22"/>
    <w:qFormat/>
    <w:rsid w:val="00441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pp.gov.co/glosario/glosario-1/L/liquidacion-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2016-03-28T21:28:00Z</dcterms:created>
  <dcterms:modified xsi:type="dcterms:W3CDTF">2016-03-28T21:28:00Z</dcterms:modified>
</cp:coreProperties>
</file>